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DD84" w14:textId="22103F85" w:rsidR="00114697" w:rsidRPr="00061342" w:rsidRDefault="00114697" w:rsidP="00114697">
      <w:pPr>
        <w:rPr>
          <w:b/>
          <w:bCs/>
          <w:sz w:val="20"/>
          <w:szCs w:val="20"/>
        </w:rPr>
      </w:pPr>
      <w:r w:rsidRPr="00061342">
        <w:rPr>
          <w:b/>
          <w:bCs/>
          <w:sz w:val="20"/>
          <w:szCs w:val="20"/>
        </w:rPr>
        <w:t>Chief Complaint:</w:t>
      </w:r>
      <w:r w:rsidR="00061342" w:rsidRPr="00061342">
        <w:rPr>
          <w:b/>
          <w:bCs/>
          <w:sz w:val="20"/>
          <w:szCs w:val="20"/>
        </w:rPr>
        <w:t xml:space="preserve"> </w:t>
      </w:r>
      <w:r w:rsidRPr="00061342">
        <w:rPr>
          <w:sz w:val="20"/>
          <w:szCs w:val="20"/>
        </w:rPr>
        <w:t>Food allergy</w:t>
      </w:r>
    </w:p>
    <w:p w14:paraId="2AE350DA" w14:textId="6BDD1C39" w:rsidR="00114697" w:rsidRPr="00061342" w:rsidRDefault="00114697" w:rsidP="00114697">
      <w:pPr>
        <w:rPr>
          <w:b/>
          <w:bCs/>
          <w:sz w:val="20"/>
          <w:szCs w:val="20"/>
        </w:rPr>
      </w:pPr>
      <w:r w:rsidRPr="00061342">
        <w:rPr>
          <w:b/>
          <w:bCs/>
          <w:sz w:val="20"/>
          <w:szCs w:val="20"/>
        </w:rPr>
        <w:t>HPI:</w:t>
      </w:r>
    </w:p>
    <w:p w14:paraId="0899DDEC" w14:textId="405C2CDE" w:rsidR="00114697" w:rsidRPr="00061342" w:rsidRDefault="00114697" w:rsidP="00114697">
      <w:pPr>
        <w:rPr>
          <w:sz w:val="20"/>
          <w:szCs w:val="20"/>
        </w:rPr>
      </w:pPr>
      <w:proofErr w:type="gramStart"/>
      <w:r w:rsidRPr="00061342">
        <w:rPr>
          <w:sz w:val="20"/>
          <w:szCs w:val="20"/>
        </w:rPr>
        <w:t>Patient is</w:t>
      </w:r>
      <w:proofErr w:type="gramEnd"/>
      <w:r w:rsidRPr="00061342">
        <w:rPr>
          <w:sz w:val="20"/>
          <w:szCs w:val="20"/>
        </w:rPr>
        <w:t xml:space="preserve"> currently pursuing food allergen desensitization treatment due to a history of</w:t>
      </w:r>
      <w:r w:rsidR="00840827" w:rsidRPr="00061342">
        <w:rPr>
          <w:sz w:val="20"/>
          <w:szCs w:val="20"/>
        </w:rPr>
        <w:t xml:space="preserve"> potentially</w:t>
      </w:r>
      <w:r w:rsidRPr="00061342">
        <w:rPr>
          <w:sz w:val="20"/>
          <w:szCs w:val="20"/>
        </w:rPr>
        <w:t xml:space="preserve"> life-threatening IgE-mediated food allergy. </w:t>
      </w:r>
    </w:p>
    <w:p w14:paraId="11E36D52" w14:textId="77777777" w:rsidR="00114697" w:rsidRPr="00061342" w:rsidRDefault="00114697" w:rsidP="00061342">
      <w:pPr>
        <w:pStyle w:val="ListParagraph"/>
        <w:numPr>
          <w:ilvl w:val="0"/>
          <w:numId w:val="2"/>
        </w:numPr>
        <w:spacing w:after="0"/>
        <w:rPr>
          <w:sz w:val="20"/>
          <w:szCs w:val="20"/>
        </w:rPr>
      </w:pPr>
      <w:r w:rsidRPr="00061342">
        <w:rPr>
          <w:sz w:val="20"/>
          <w:szCs w:val="20"/>
        </w:rPr>
        <w:t>This condition is chronic without treatment, and meets the following criteria:</w:t>
      </w:r>
    </w:p>
    <w:p w14:paraId="5CE59A4F" w14:textId="3363A95A" w:rsidR="00114697" w:rsidRPr="00061342" w:rsidRDefault="00114697" w:rsidP="00061342">
      <w:pPr>
        <w:pStyle w:val="ListParagraph"/>
        <w:numPr>
          <w:ilvl w:val="0"/>
          <w:numId w:val="2"/>
        </w:numPr>
        <w:spacing w:after="0"/>
        <w:rPr>
          <w:sz w:val="20"/>
          <w:szCs w:val="20"/>
        </w:rPr>
      </w:pPr>
      <w:r w:rsidRPr="00061342">
        <w:rPr>
          <w:sz w:val="20"/>
          <w:szCs w:val="20"/>
        </w:rPr>
        <w:t>Expected to last at least 3 months.</w:t>
      </w:r>
    </w:p>
    <w:p w14:paraId="6F5DB964" w14:textId="4BEB8C75" w:rsidR="00114697" w:rsidRPr="00061342" w:rsidRDefault="00114697" w:rsidP="00061342">
      <w:pPr>
        <w:pStyle w:val="ListParagraph"/>
        <w:numPr>
          <w:ilvl w:val="0"/>
          <w:numId w:val="2"/>
        </w:numPr>
        <w:spacing w:after="0"/>
        <w:rPr>
          <w:sz w:val="20"/>
          <w:szCs w:val="20"/>
        </w:rPr>
      </w:pPr>
      <w:r w:rsidRPr="00061342">
        <w:rPr>
          <w:sz w:val="20"/>
          <w:szCs w:val="20"/>
        </w:rPr>
        <w:t>Significant risk of hospitalization, acute exacerbation/decompensation, functional decline, or death.</w:t>
      </w:r>
    </w:p>
    <w:p w14:paraId="799E125B" w14:textId="2F408715" w:rsidR="00114697" w:rsidRPr="00061342" w:rsidRDefault="00114697" w:rsidP="00061342">
      <w:pPr>
        <w:pStyle w:val="ListParagraph"/>
        <w:numPr>
          <w:ilvl w:val="0"/>
          <w:numId w:val="2"/>
        </w:numPr>
        <w:spacing w:after="0"/>
        <w:rPr>
          <w:sz w:val="20"/>
          <w:szCs w:val="20"/>
        </w:rPr>
      </w:pPr>
      <w:r w:rsidRPr="00061342">
        <w:rPr>
          <w:sz w:val="20"/>
          <w:szCs w:val="20"/>
        </w:rPr>
        <w:t xml:space="preserve">Condition requires development, monitoring, or revision of disease-specific care </w:t>
      </w:r>
      <w:proofErr w:type="gramStart"/>
      <w:r w:rsidRPr="00061342">
        <w:rPr>
          <w:sz w:val="20"/>
          <w:szCs w:val="20"/>
        </w:rPr>
        <w:t>plan</w:t>
      </w:r>
      <w:proofErr w:type="gramEnd"/>
      <w:r w:rsidRPr="00061342">
        <w:rPr>
          <w:sz w:val="20"/>
          <w:szCs w:val="20"/>
        </w:rPr>
        <w:t>.</w:t>
      </w:r>
    </w:p>
    <w:p w14:paraId="3E99F143" w14:textId="77777777" w:rsidR="00061342" w:rsidRPr="00061342" w:rsidRDefault="00114697" w:rsidP="00061342">
      <w:pPr>
        <w:pStyle w:val="ListParagraph"/>
        <w:numPr>
          <w:ilvl w:val="0"/>
          <w:numId w:val="2"/>
        </w:numPr>
        <w:spacing w:after="0"/>
        <w:rPr>
          <w:sz w:val="20"/>
          <w:szCs w:val="20"/>
        </w:rPr>
      </w:pPr>
      <w:r w:rsidRPr="00061342">
        <w:rPr>
          <w:sz w:val="20"/>
          <w:szCs w:val="20"/>
        </w:rPr>
        <w:t>Condition requires frequent adjustments in the medication regimen and/or the management of the condition is unusually</w:t>
      </w:r>
      <w:r w:rsidR="00840827" w:rsidRPr="00061342">
        <w:rPr>
          <w:sz w:val="20"/>
          <w:szCs w:val="20"/>
        </w:rPr>
        <w:t xml:space="preserve"> </w:t>
      </w:r>
      <w:r w:rsidRPr="00061342">
        <w:rPr>
          <w:sz w:val="20"/>
          <w:szCs w:val="20"/>
        </w:rPr>
        <w:t>complex due to co-morbidities.</w:t>
      </w:r>
    </w:p>
    <w:p w14:paraId="4E4646BB" w14:textId="7BCE1279" w:rsidR="00114697" w:rsidRPr="00061342" w:rsidRDefault="00114697" w:rsidP="00114697">
      <w:pPr>
        <w:pStyle w:val="ListParagraph"/>
        <w:numPr>
          <w:ilvl w:val="0"/>
          <w:numId w:val="2"/>
        </w:numPr>
        <w:spacing w:after="0"/>
        <w:rPr>
          <w:sz w:val="20"/>
          <w:szCs w:val="20"/>
        </w:rPr>
      </w:pPr>
      <w:r w:rsidRPr="00061342">
        <w:rPr>
          <w:sz w:val="20"/>
          <w:szCs w:val="20"/>
        </w:rPr>
        <w:t>Ongoing communication and care coordination between relevant practitioners furnishing care is necessary.</w:t>
      </w:r>
    </w:p>
    <w:p w14:paraId="590EC374" w14:textId="77777777" w:rsidR="00061342" w:rsidRPr="00061342" w:rsidRDefault="00061342" w:rsidP="00061342">
      <w:pPr>
        <w:pStyle w:val="ListParagraph"/>
        <w:spacing w:after="0"/>
        <w:rPr>
          <w:sz w:val="20"/>
          <w:szCs w:val="20"/>
        </w:rPr>
      </w:pPr>
    </w:p>
    <w:p w14:paraId="68B82E99" w14:textId="0E46D95E" w:rsidR="00114697" w:rsidRPr="00291E68" w:rsidRDefault="00114697" w:rsidP="00114697">
      <w:pPr>
        <w:rPr>
          <w:b/>
          <w:bCs/>
          <w:sz w:val="20"/>
          <w:szCs w:val="20"/>
        </w:rPr>
      </w:pPr>
      <w:r w:rsidRPr="00061342">
        <w:rPr>
          <w:b/>
          <w:bCs/>
          <w:sz w:val="20"/>
          <w:szCs w:val="20"/>
        </w:rPr>
        <w:t>Diagnosis:</w:t>
      </w:r>
      <w:r w:rsidR="00291E68">
        <w:rPr>
          <w:b/>
          <w:bCs/>
          <w:sz w:val="20"/>
          <w:szCs w:val="20"/>
        </w:rPr>
        <w:t xml:space="preserve"> </w:t>
      </w:r>
      <w:r w:rsidR="00061342" w:rsidRPr="00061342">
        <w:rPr>
          <w:i/>
          <w:iCs/>
          <w:sz w:val="20"/>
          <w:szCs w:val="20"/>
          <w:highlight w:val="yellow"/>
        </w:rPr>
        <w:t>Insert appropriate ICD-10 code(s) here.</w:t>
      </w:r>
    </w:p>
    <w:p w14:paraId="0C7D0982" w14:textId="0469EAA4" w:rsidR="00114697" w:rsidRPr="00061342" w:rsidRDefault="00114697" w:rsidP="00114697">
      <w:pPr>
        <w:rPr>
          <w:b/>
          <w:bCs/>
          <w:sz w:val="20"/>
          <w:szCs w:val="20"/>
        </w:rPr>
      </w:pPr>
      <w:r w:rsidRPr="00061342">
        <w:rPr>
          <w:b/>
          <w:bCs/>
          <w:sz w:val="20"/>
          <w:szCs w:val="20"/>
        </w:rPr>
        <w:t>Treatment Plan:</w:t>
      </w:r>
    </w:p>
    <w:p w14:paraId="1399F9C1" w14:textId="79144514" w:rsidR="00114697" w:rsidRPr="00061342" w:rsidRDefault="00114697" w:rsidP="00114697">
      <w:pPr>
        <w:rPr>
          <w:sz w:val="20"/>
          <w:szCs w:val="20"/>
        </w:rPr>
      </w:pPr>
      <w:r w:rsidRPr="00061342">
        <w:rPr>
          <w:sz w:val="20"/>
          <w:szCs w:val="20"/>
        </w:rPr>
        <w:t xml:space="preserve">Patient is currently </w:t>
      </w:r>
      <w:r w:rsidRPr="00061342">
        <w:rPr>
          <w:sz w:val="20"/>
          <w:szCs w:val="20"/>
        </w:rPr>
        <w:t>consistently</w:t>
      </w:r>
      <w:r w:rsidRPr="00061342">
        <w:rPr>
          <w:sz w:val="20"/>
          <w:szCs w:val="20"/>
        </w:rPr>
        <w:t xml:space="preserve"> logging doses within the Food Allergy Fix mobile app. Reinforced with patient that although real-time dosing and treatment guidance can be received through the app, this does not preclude the need to reach out to the office directly in the case of allergic emergency. Patient/caregivers express understanding</w:t>
      </w:r>
      <w:r w:rsidRPr="00061342">
        <w:rPr>
          <w:sz w:val="20"/>
          <w:szCs w:val="20"/>
        </w:rPr>
        <w:t>.</w:t>
      </w:r>
    </w:p>
    <w:p w14:paraId="6A10AF05" w14:textId="7B2781B1" w:rsidR="00114697" w:rsidRPr="00061342" w:rsidRDefault="00114697" w:rsidP="00114697">
      <w:pPr>
        <w:rPr>
          <w:sz w:val="20"/>
          <w:szCs w:val="20"/>
        </w:rPr>
      </w:pPr>
      <w:r w:rsidRPr="00061342">
        <w:rPr>
          <w:sz w:val="20"/>
          <w:szCs w:val="20"/>
        </w:rPr>
        <w:t>Principal care management services involve care that stabilizes the patient’s condition as soon as possible, and then transfers the patient back to their primary care provider.</w:t>
      </w:r>
    </w:p>
    <w:p w14:paraId="22C49965" w14:textId="35A76800" w:rsidR="00114697" w:rsidRPr="00061342" w:rsidRDefault="00114697" w:rsidP="00114697">
      <w:pPr>
        <w:rPr>
          <w:sz w:val="20"/>
          <w:szCs w:val="20"/>
        </w:rPr>
      </w:pPr>
      <w:r w:rsidRPr="00061342">
        <w:rPr>
          <w:sz w:val="20"/>
          <w:szCs w:val="20"/>
        </w:rPr>
        <w:t>First, a physician or qualified health care provider (usually a nurse practitioner or physician assistant) works to create a disease-specific care plan, and then to make any necessary adjustments.</w:t>
      </w:r>
    </w:p>
    <w:p w14:paraId="32869148" w14:textId="7BA01465" w:rsidR="00114697" w:rsidRPr="00061342" w:rsidRDefault="00114697" w:rsidP="00114697">
      <w:pPr>
        <w:rPr>
          <w:sz w:val="20"/>
          <w:szCs w:val="20"/>
        </w:rPr>
      </w:pPr>
      <w:r w:rsidRPr="00061342">
        <w:rPr>
          <w:sz w:val="20"/>
          <w:szCs w:val="20"/>
        </w:rPr>
        <w:t>Next, clinical staff such as medical assistants or nursing professionals work under the direction of a physician or qualified health care provider to carry out that care plan. This specifically includes monitoring and managing the patient’s condition and medication/treatment dosing, regular</w:t>
      </w:r>
      <w:r w:rsidR="00061342" w:rsidRPr="00061342">
        <w:rPr>
          <w:sz w:val="20"/>
          <w:szCs w:val="20"/>
        </w:rPr>
        <w:t xml:space="preserve"> </w:t>
      </w:r>
      <w:proofErr w:type="gramStart"/>
      <w:r w:rsidRPr="00061342">
        <w:rPr>
          <w:sz w:val="20"/>
          <w:szCs w:val="20"/>
        </w:rPr>
        <w:t>communication</w:t>
      </w:r>
      <w:proofErr w:type="gramEnd"/>
      <w:r w:rsidRPr="00061342">
        <w:rPr>
          <w:sz w:val="20"/>
          <w:szCs w:val="20"/>
        </w:rPr>
        <w:t xml:space="preserve"> and coordination with the patient, and other day-to-day delivery functions.</w:t>
      </w:r>
    </w:p>
    <w:p w14:paraId="24888829" w14:textId="5E8D6BF1" w:rsidR="00114697" w:rsidRPr="00061342" w:rsidRDefault="00114697" w:rsidP="00114697">
      <w:pPr>
        <w:rPr>
          <w:sz w:val="20"/>
          <w:szCs w:val="20"/>
        </w:rPr>
      </w:pPr>
      <w:r w:rsidRPr="00061342">
        <w:rPr>
          <w:sz w:val="20"/>
          <w:szCs w:val="20"/>
        </w:rPr>
        <w:t>Life-threatening food allergy qualifies as a chronic condition placing the patient at substantial risk of morbidity or mortality. The food allergen desensitization procedure is complex and requires close monitoring of office- and home-based dosing with the food allergen, along with adherence to dosing rules intended to optimize the safety of the procedure. Frequent communication with the patient/caregivers and clinical team is necessary to ensure the treatment is administered safely and successfully.</w:t>
      </w:r>
    </w:p>
    <w:p w14:paraId="34D71D8F" w14:textId="257A9B79" w:rsidR="00114697" w:rsidRPr="00061342" w:rsidRDefault="00114697" w:rsidP="00114697">
      <w:pPr>
        <w:rPr>
          <w:sz w:val="20"/>
          <w:szCs w:val="20"/>
        </w:rPr>
      </w:pPr>
      <w:r w:rsidRPr="00061342">
        <w:rPr>
          <w:sz w:val="20"/>
          <w:szCs w:val="20"/>
        </w:rPr>
        <w:t>A digital care plan is made available to the patient, and 24/7 access to the clinical team is provided to ensure that all medical needs are addressed in a timely manner.</w:t>
      </w:r>
    </w:p>
    <w:p w14:paraId="2F9BC541" w14:textId="48240B12" w:rsidR="00840827" w:rsidRPr="00061342" w:rsidRDefault="00114697" w:rsidP="00114697">
      <w:pPr>
        <w:rPr>
          <w:sz w:val="20"/>
          <w:szCs w:val="20"/>
        </w:rPr>
      </w:pPr>
      <w:r w:rsidRPr="00061342">
        <w:rPr>
          <w:sz w:val="20"/>
          <w:szCs w:val="20"/>
        </w:rPr>
        <w:t xml:space="preserve">Over the course of a single calendar month, the following </w:t>
      </w:r>
      <w:r w:rsidRPr="00061342">
        <w:rPr>
          <w:sz w:val="20"/>
          <w:szCs w:val="20"/>
        </w:rPr>
        <w:t>principal</w:t>
      </w:r>
      <w:r w:rsidRPr="00061342">
        <w:rPr>
          <w:sz w:val="20"/>
          <w:szCs w:val="20"/>
        </w:rPr>
        <w:t xml:space="preserve"> care management services have been provided by the qualified health providers and/or clinical staff (outside of time spent during scheduled office visits): </w:t>
      </w:r>
      <w:r w:rsidR="00061342" w:rsidRPr="00061342">
        <w:rPr>
          <w:i/>
          <w:iCs/>
          <w:sz w:val="20"/>
          <w:szCs w:val="20"/>
          <w:highlight w:val="yellow"/>
        </w:rPr>
        <w:t xml:space="preserve">check all that </w:t>
      </w:r>
      <w:proofErr w:type="gramStart"/>
      <w:r w:rsidR="00061342" w:rsidRPr="00061342">
        <w:rPr>
          <w:i/>
          <w:iCs/>
          <w:sz w:val="20"/>
          <w:szCs w:val="20"/>
          <w:highlight w:val="yellow"/>
        </w:rPr>
        <w:t>apply</w:t>
      </w:r>
      <w:proofErr w:type="gramEnd"/>
    </w:p>
    <w:p w14:paraId="2C9DB453" w14:textId="44C12506" w:rsidR="00114697" w:rsidRPr="00061342" w:rsidRDefault="00840827" w:rsidP="00840827">
      <w:pPr>
        <w:pStyle w:val="ListParagraph"/>
        <w:numPr>
          <w:ilvl w:val="0"/>
          <w:numId w:val="1"/>
        </w:numPr>
        <w:spacing w:after="0"/>
        <w:rPr>
          <w:sz w:val="20"/>
          <w:szCs w:val="20"/>
        </w:rPr>
      </w:pPr>
      <w:r w:rsidRPr="00061342">
        <w:rPr>
          <w:sz w:val="20"/>
          <w:szCs w:val="20"/>
        </w:rPr>
        <w:t>1st 30 min of PCM services by Q</w:t>
      </w:r>
      <w:r w:rsidRPr="00061342">
        <w:rPr>
          <w:sz w:val="20"/>
          <w:szCs w:val="20"/>
        </w:rPr>
        <w:t xml:space="preserve">ualified </w:t>
      </w:r>
      <w:r w:rsidRPr="00061342">
        <w:rPr>
          <w:sz w:val="20"/>
          <w:szCs w:val="20"/>
        </w:rPr>
        <w:t>H</w:t>
      </w:r>
      <w:r w:rsidRPr="00061342">
        <w:rPr>
          <w:sz w:val="20"/>
          <w:szCs w:val="20"/>
        </w:rPr>
        <w:t>ealth</w:t>
      </w:r>
      <w:r w:rsidR="000A01C2">
        <w:rPr>
          <w:sz w:val="20"/>
          <w:szCs w:val="20"/>
        </w:rPr>
        <w:t>care</w:t>
      </w:r>
      <w:r w:rsidRPr="00061342">
        <w:rPr>
          <w:sz w:val="20"/>
          <w:szCs w:val="20"/>
        </w:rPr>
        <w:t xml:space="preserve"> </w:t>
      </w:r>
      <w:r w:rsidRPr="00061342">
        <w:rPr>
          <w:sz w:val="20"/>
          <w:szCs w:val="20"/>
        </w:rPr>
        <w:t>P</w:t>
      </w:r>
      <w:r w:rsidRPr="00061342">
        <w:rPr>
          <w:sz w:val="20"/>
          <w:szCs w:val="20"/>
        </w:rPr>
        <w:t xml:space="preserve">rovider (CPT </w:t>
      </w:r>
      <w:r w:rsidR="00061342" w:rsidRPr="00061342">
        <w:rPr>
          <w:sz w:val="20"/>
          <w:szCs w:val="20"/>
        </w:rPr>
        <w:t>99424)</w:t>
      </w:r>
    </w:p>
    <w:p w14:paraId="2617A2DF" w14:textId="5BE135D2" w:rsidR="00840827" w:rsidRPr="00061342" w:rsidRDefault="00840827" w:rsidP="00840827">
      <w:pPr>
        <w:pStyle w:val="ListParagraph"/>
        <w:numPr>
          <w:ilvl w:val="0"/>
          <w:numId w:val="1"/>
        </w:numPr>
        <w:spacing w:after="0"/>
        <w:rPr>
          <w:sz w:val="20"/>
          <w:szCs w:val="20"/>
        </w:rPr>
      </w:pPr>
      <w:r w:rsidRPr="00061342">
        <w:rPr>
          <w:sz w:val="20"/>
          <w:szCs w:val="20"/>
        </w:rPr>
        <w:t>Add</w:t>
      </w:r>
      <w:r w:rsidRPr="00061342">
        <w:rPr>
          <w:sz w:val="20"/>
          <w:szCs w:val="20"/>
        </w:rPr>
        <w:t>itiona</w:t>
      </w:r>
      <w:r w:rsidRPr="00061342">
        <w:rPr>
          <w:sz w:val="20"/>
          <w:szCs w:val="20"/>
        </w:rPr>
        <w:t>l 30 min of PCM services by Q</w:t>
      </w:r>
      <w:r w:rsidRPr="00061342">
        <w:rPr>
          <w:sz w:val="20"/>
          <w:szCs w:val="20"/>
        </w:rPr>
        <w:t xml:space="preserve">ualified </w:t>
      </w:r>
      <w:r w:rsidRPr="00061342">
        <w:rPr>
          <w:sz w:val="20"/>
          <w:szCs w:val="20"/>
        </w:rPr>
        <w:t>H</w:t>
      </w:r>
      <w:r w:rsidRPr="00061342">
        <w:rPr>
          <w:sz w:val="20"/>
          <w:szCs w:val="20"/>
        </w:rPr>
        <w:t>ealth</w:t>
      </w:r>
      <w:r w:rsidR="000A01C2">
        <w:rPr>
          <w:sz w:val="20"/>
          <w:szCs w:val="20"/>
        </w:rPr>
        <w:t>care</w:t>
      </w:r>
      <w:r w:rsidRPr="00061342">
        <w:rPr>
          <w:sz w:val="20"/>
          <w:szCs w:val="20"/>
        </w:rPr>
        <w:t xml:space="preserve"> </w:t>
      </w:r>
      <w:r w:rsidRPr="00061342">
        <w:rPr>
          <w:sz w:val="20"/>
          <w:szCs w:val="20"/>
        </w:rPr>
        <w:t>P</w:t>
      </w:r>
      <w:r w:rsidRPr="00061342">
        <w:rPr>
          <w:sz w:val="20"/>
          <w:szCs w:val="20"/>
        </w:rPr>
        <w:t>rovider (CPT</w:t>
      </w:r>
      <w:r w:rsidR="00061342" w:rsidRPr="00061342">
        <w:rPr>
          <w:sz w:val="20"/>
          <w:szCs w:val="20"/>
        </w:rPr>
        <w:t xml:space="preserve"> 99425)</w:t>
      </w:r>
    </w:p>
    <w:p w14:paraId="5581B8AF" w14:textId="15B87EEB" w:rsidR="00840827" w:rsidRPr="00061342" w:rsidRDefault="00840827" w:rsidP="00840827">
      <w:pPr>
        <w:pStyle w:val="ListParagraph"/>
        <w:numPr>
          <w:ilvl w:val="0"/>
          <w:numId w:val="1"/>
        </w:numPr>
        <w:spacing w:after="0"/>
        <w:rPr>
          <w:sz w:val="20"/>
          <w:szCs w:val="20"/>
        </w:rPr>
      </w:pPr>
      <w:r w:rsidRPr="00061342">
        <w:rPr>
          <w:sz w:val="20"/>
          <w:szCs w:val="20"/>
        </w:rPr>
        <w:t>1st 30 min of PCM services by clinical staff</w:t>
      </w:r>
      <w:r w:rsidRPr="00061342">
        <w:rPr>
          <w:sz w:val="20"/>
          <w:szCs w:val="20"/>
        </w:rPr>
        <w:t xml:space="preserve"> (CPT</w:t>
      </w:r>
      <w:r w:rsidR="00061342" w:rsidRPr="00061342">
        <w:rPr>
          <w:sz w:val="20"/>
          <w:szCs w:val="20"/>
        </w:rPr>
        <w:t xml:space="preserve"> 99426)</w:t>
      </w:r>
    </w:p>
    <w:p w14:paraId="18683BB2" w14:textId="343ED3ED" w:rsidR="00840827" w:rsidRPr="00061342" w:rsidRDefault="00840827" w:rsidP="00840827">
      <w:pPr>
        <w:pStyle w:val="ListParagraph"/>
        <w:numPr>
          <w:ilvl w:val="0"/>
          <w:numId w:val="1"/>
        </w:numPr>
        <w:spacing w:after="0"/>
        <w:rPr>
          <w:sz w:val="20"/>
          <w:szCs w:val="20"/>
        </w:rPr>
      </w:pPr>
      <w:r w:rsidRPr="00061342">
        <w:rPr>
          <w:sz w:val="20"/>
          <w:szCs w:val="20"/>
        </w:rPr>
        <w:t>Add</w:t>
      </w:r>
      <w:r w:rsidRPr="00061342">
        <w:rPr>
          <w:sz w:val="20"/>
          <w:szCs w:val="20"/>
        </w:rPr>
        <w:t>itiona</w:t>
      </w:r>
      <w:r w:rsidRPr="00061342">
        <w:rPr>
          <w:sz w:val="20"/>
          <w:szCs w:val="20"/>
        </w:rPr>
        <w:t>l 30 min of PCM services by clinical staff</w:t>
      </w:r>
      <w:r w:rsidRPr="00061342">
        <w:rPr>
          <w:sz w:val="20"/>
          <w:szCs w:val="20"/>
        </w:rPr>
        <w:t xml:space="preserve"> (CPT</w:t>
      </w:r>
      <w:r w:rsidR="00061342" w:rsidRPr="00061342">
        <w:rPr>
          <w:sz w:val="20"/>
          <w:szCs w:val="20"/>
        </w:rPr>
        <w:t xml:space="preserve"> 99427)</w:t>
      </w:r>
    </w:p>
    <w:sectPr w:rsidR="00840827" w:rsidRPr="000613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1233" w14:textId="77777777" w:rsidR="007F6AD2" w:rsidRDefault="007F6AD2" w:rsidP="00061342">
      <w:pPr>
        <w:spacing w:after="0" w:line="240" w:lineRule="auto"/>
      </w:pPr>
      <w:r>
        <w:separator/>
      </w:r>
    </w:p>
  </w:endnote>
  <w:endnote w:type="continuationSeparator" w:id="0">
    <w:p w14:paraId="52F89AF1" w14:textId="77777777" w:rsidR="007F6AD2" w:rsidRDefault="007F6AD2" w:rsidP="0006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0FB3" w14:textId="77777777" w:rsidR="007F6AD2" w:rsidRDefault="007F6AD2" w:rsidP="00061342">
      <w:pPr>
        <w:spacing w:after="0" w:line="240" w:lineRule="auto"/>
      </w:pPr>
      <w:r>
        <w:separator/>
      </w:r>
    </w:p>
  </w:footnote>
  <w:footnote w:type="continuationSeparator" w:id="0">
    <w:p w14:paraId="6364A919" w14:textId="77777777" w:rsidR="007F6AD2" w:rsidRDefault="007F6AD2" w:rsidP="0006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67E6" w14:textId="62989E7C" w:rsidR="00061342" w:rsidRPr="00061342" w:rsidRDefault="00061342" w:rsidP="00291E68">
    <w:pPr>
      <w:pStyle w:val="Header"/>
      <w:jc w:val="center"/>
      <w:rPr>
        <w:b/>
        <w:bCs/>
      </w:rPr>
    </w:pPr>
    <w:r w:rsidRPr="00061342">
      <w:rPr>
        <w:b/>
        <w:bCs/>
      </w:rPr>
      <w:t>Principal Care Management for Food Allergen Desensitization: Monthly Visit Note Template</w:t>
    </w:r>
  </w:p>
  <w:p w14:paraId="2689B208" w14:textId="4A706E0B" w:rsidR="00061342" w:rsidRPr="00061342" w:rsidRDefault="00061342" w:rsidP="00291E68">
    <w:pPr>
      <w:pStyle w:val="Header"/>
      <w:jc w:val="center"/>
      <w:rPr>
        <w:i/>
        <w:iCs/>
      </w:rPr>
    </w:pPr>
    <w:r w:rsidRPr="00061342">
      <w:rPr>
        <w:i/>
        <w:iCs/>
      </w:rPr>
      <w:t>(</w:t>
    </w:r>
    <w:proofErr w:type="gramStart"/>
    <w:r w:rsidRPr="00061342">
      <w:rPr>
        <w:i/>
        <w:iCs/>
      </w:rPr>
      <w:t>to</w:t>
    </w:r>
    <w:proofErr w:type="gramEnd"/>
    <w:r w:rsidRPr="00061342">
      <w:rPr>
        <w:i/>
        <w:iCs/>
      </w:rPr>
      <w:t xml:space="preserve"> be generated on the last calendar day of each service month)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1CC7"/>
    <w:multiLevelType w:val="hybridMultilevel"/>
    <w:tmpl w:val="8E42E312"/>
    <w:lvl w:ilvl="0" w:tplc="18A4CC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27F13"/>
    <w:multiLevelType w:val="hybridMultilevel"/>
    <w:tmpl w:val="9F2E1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517756">
    <w:abstractNumId w:val="0"/>
  </w:num>
  <w:num w:numId="2" w16cid:durableId="1598097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97"/>
    <w:rsid w:val="00061342"/>
    <w:rsid w:val="000A01C2"/>
    <w:rsid w:val="00114697"/>
    <w:rsid w:val="00291E68"/>
    <w:rsid w:val="007F6AD2"/>
    <w:rsid w:val="0084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2F97"/>
  <w15:chartTrackingRefBased/>
  <w15:docId w15:val="{9EBE05CB-2B48-4197-92E8-D0826CB9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27"/>
    <w:pPr>
      <w:ind w:left="720"/>
      <w:contextualSpacing/>
    </w:pPr>
  </w:style>
  <w:style w:type="paragraph" w:styleId="Header">
    <w:name w:val="header"/>
    <w:basedOn w:val="Normal"/>
    <w:link w:val="HeaderChar"/>
    <w:uiPriority w:val="99"/>
    <w:unhideWhenUsed/>
    <w:rsid w:val="0006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342"/>
  </w:style>
  <w:style w:type="paragraph" w:styleId="Footer">
    <w:name w:val="footer"/>
    <w:basedOn w:val="Normal"/>
    <w:link w:val="FooterChar"/>
    <w:uiPriority w:val="99"/>
    <w:unhideWhenUsed/>
    <w:rsid w:val="0006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Sakina Bajowala</dc:creator>
  <cp:keywords/>
  <dc:description/>
  <cp:lastModifiedBy>Sakina Bajowala</cp:lastModifiedBy>
  <cp:revision>2</cp:revision>
  <dcterms:created xsi:type="dcterms:W3CDTF">2023-04-19T01:48:00Z</dcterms:created>
  <dcterms:modified xsi:type="dcterms:W3CDTF">2023-04-19T02:34:00Z</dcterms:modified>
</cp:coreProperties>
</file>